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0C4" w:rsidRPr="008E3E5C" w:rsidRDefault="00851969" w:rsidP="00014F72">
      <w:pPr>
        <w:pStyle w:val="Heading1"/>
        <w:spacing w:before="100" w:beforeAutospacing="1" w:after="240"/>
      </w:pPr>
      <w:r w:rsidRPr="008E3E5C">
        <w:t>Reverse Water Gas Shift Reaction</w:t>
      </w:r>
    </w:p>
    <w:p w:rsidR="00851969" w:rsidRDefault="00777613" w:rsidP="008E3E5C">
      <w:pPr>
        <w:spacing w:after="0"/>
        <w:rPr>
          <w:rFonts w:cstheme="minorHAnsi"/>
          <w:color w:val="000000"/>
          <w:shd w:val="clear" w:color="auto" w:fill="FFFFFF"/>
        </w:rPr>
      </w:pPr>
      <w:r w:rsidRPr="008E3E5C">
        <w:rPr>
          <w:rFonts w:cstheme="minorHAnsi"/>
          <w:color w:val="000000"/>
          <w:shd w:val="clear" w:color="auto" w:fill="FFFFFF"/>
        </w:rPr>
        <w:t>The reverse water gas shift reaction (RWGS)</w:t>
      </w:r>
      <w:r w:rsidR="00851969" w:rsidRPr="008E3E5C">
        <w:rPr>
          <w:rFonts w:cstheme="minorHAnsi"/>
          <w:color w:val="000000"/>
          <w:shd w:val="clear" w:color="auto" w:fill="FFFFFF"/>
        </w:rPr>
        <w:t xml:space="preserve"> is a method of producing water from car</w:t>
      </w:r>
      <w:r w:rsidRPr="008E3E5C">
        <w:rPr>
          <w:rFonts w:cstheme="minorHAnsi"/>
          <w:color w:val="000000"/>
          <w:shd w:val="clear" w:color="auto" w:fill="FFFFFF"/>
        </w:rPr>
        <w:t>bon dioxide and hydrogen in the mechanism below.</w:t>
      </w:r>
    </w:p>
    <w:p w:rsidR="008E3E5C" w:rsidRPr="008E3E5C" w:rsidRDefault="008E3E5C" w:rsidP="008E3E5C">
      <w:pPr>
        <w:spacing w:after="0"/>
        <w:rPr>
          <w:rFonts w:cstheme="minorHAnsi"/>
          <w:color w:val="000000"/>
          <w:shd w:val="clear" w:color="auto" w:fill="FFFFFF"/>
        </w:rPr>
      </w:pPr>
    </w:p>
    <w:p w:rsidR="00851969" w:rsidRDefault="00851969" w:rsidP="008E3E5C">
      <w:pPr>
        <w:spacing w:after="0"/>
        <w:jc w:val="right"/>
        <w:rPr>
          <w:rFonts w:cstheme="minorHAnsi"/>
          <w:color w:val="000000"/>
        </w:rPr>
      </w:pPr>
      <w:r w:rsidRPr="008E3E5C">
        <w:rPr>
          <w:rFonts w:cstheme="minorHAnsi"/>
          <w:color w:val="000000"/>
          <w:shd w:val="clear" w:color="auto" w:fill="FFFFFF"/>
        </w:rPr>
        <w:t>CO</w:t>
      </w:r>
      <w:r w:rsidRPr="008E3E5C">
        <w:rPr>
          <w:rFonts w:cstheme="minorHAnsi"/>
          <w:color w:val="000000"/>
          <w:shd w:val="clear" w:color="auto" w:fill="FFFFFF"/>
          <w:vertAlign w:val="subscript"/>
        </w:rPr>
        <w:t>2</w:t>
      </w:r>
      <w:r w:rsidRPr="008E3E5C">
        <w:rPr>
          <w:rFonts w:cstheme="minorHAnsi"/>
          <w:color w:val="000000"/>
          <w:shd w:val="clear" w:color="auto" w:fill="FFFFFF"/>
        </w:rPr>
        <w:t xml:space="preserve"> + H</w:t>
      </w:r>
      <w:r w:rsidRPr="008E3E5C">
        <w:rPr>
          <w:rFonts w:cstheme="minorHAnsi"/>
          <w:color w:val="000000"/>
          <w:shd w:val="clear" w:color="auto" w:fill="FFFFFF"/>
          <w:vertAlign w:val="subscript"/>
        </w:rPr>
        <w:t>2</w:t>
      </w:r>
      <w:r w:rsidRPr="008E3E5C">
        <w:rPr>
          <w:rFonts w:cstheme="minorHAnsi"/>
          <w:color w:val="000000"/>
          <w:shd w:val="clear" w:color="auto" w:fill="FFFFFF"/>
        </w:rPr>
        <w:t xml:space="preserve"> </w:t>
      </w:r>
      <w:r w:rsidRPr="008E3E5C">
        <w:rPr>
          <w:rFonts w:cstheme="minorHAnsi"/>
          <w:color w:val="000000"/>
          <w:shd w:val="clear" w:color="auto" w:fill="FFFFFF"/>
        </w:rPr>
        <w:sym w:font="Wingdings" w:char="00E0"/>
      </w:r>
      <w:r w:rsidRPr="008E3E5C">
        <w:rPr>
          <w:rFonts w:cstheme="minorHAnsi"/>
          <w:color w:val="000000"/>
          <w:shd w:val="clear" w:color="auto" w:fill="FFFFFF"/>
        </w:rPr>
        <w:t xml:space="preserve"> CO + H</w:t>
      </w:r>
      <w:r w:rsidRPr="008E3E5C">
        <w:rPr>
          <w:rFonts w:cstheme="minorHAnsi"/>
          <w:color w:val="000000"/>
          <w:shd w:val="clear" w:color="auto" w:fill="FFFFFF"/>
          <w:vertAlign w:val="subscript"/>
        </w:rPr>
        <w:t>2</w:t>
      </w:r>
      <w:r w:rsidRPr="008E3E5C">
        <w:rPr>
          <w:rFonts w:cstheme="minorHAnsi"/>
          <w:color w:val="000000"/>
          <w:shd w:val="clear" w:color="auto" w:fill="FFFFFF"/>
        </w:rPr>
        <w:t>O</w:t>
      </w:r>
      <w:r w:rsidR="00505897" w:rsidRPr="008E3E5C">
        <w:rPr>
          <w:rFonts w:cstheme="minorHAnsi"/>
          <w:color w:val="000000"/>
          <w:shd w:val="clear" w:color="auto" w:fill="FFFFFF"/>
        </w:rPr>
        <w:t xml:space="preserve"> </w:t>
      </w:r>
      <w:r w:rsidR="009634D8" w:rsidRPr="008E3E5C">
        <w:rPr>
          <w:rFonts w:cstheme="minorHAnsi"/>
          <w:color w:val="000000"/>
          <w:shd w:val="clear" w:color="auto" w:fill="FFFFFF"/>
        </w:rPr>
        <w:tab/>
      </w:r>
      <w:r w:rsidR="008E3E5C">
        <w:rPr>
          <w:rFonts w:cstheme="minorHAnsi"/>
          <w:color w:val="000000"/>
          <w:shd w:val="clear" w:color="auto" w:fill="FFFFFF"/>
        </w:rPr>
        <w:tab/>
      </w:r>
      <w:r w:rsidR="009634D8" w:rsidRPr="008E3E5C">
        <w:rPr>
          <w:rFonts w:cstheme="minorHAnsi"/>
          <w:color w:val="000000"/>
          <w:shd w:val="clear" w:color="auto" w:fill="FFFFFF"/>
        </w:rPr>
        <w:tab/>
      </w:r>
      <w:r w:rsidR="009634D8" w:rsidRPr="008E3E5C">
        <w:rPr>
          <w:rFonts w:cstheme="minorHAnsi"/>
          <w:color w:val="000000"/>
          <w:shd w:val="clear" w:color="auto" w:fill="FFFFFF"/>
        </w:rPr>
        <w:tab/>
      </w:r>
      <w:r w:rsidR="009634D8" w:rsidRPr="008E3E5C">
        <w:rPr>
          <w:rFonts w:cstheme="minorHAnsi"/>
          <w:color w:val="000000"/>
        </w:rPr>
        <w:t>ΔH = 9</w:t>
      </w:r>
      <w:r w:rsidR="00505897" w:rsidRPr="008E3E5C">
        <w:rPr>
          <w:rFonts w:cstheme="minorHAnsi"/>
          <w:color w:val="000000"/>
        </w:rPr>
        <w:t xml:space="preserve"> kcal/mole</w:t>
      </w:r>
    </w:p>
    <w:p w:rsidR="008E3E5C" w:rsidRPr="008E3E5C" w:rsidRDefault="008E3E5C" w:rsidP="008E3E5C">
      <w:pPr>
        <w:spacing w:after="0"/>
        <w:jc w:val="right"/>
        <w:rPr>
          <w:rFonts w:cstheme="minorHAnsi"/>
          <w:color w:val="000000"/>
          <w:shd w:val="clear" w:color="auto" w:fill="FFFFFF"/>
        </w:rPr>
      </w:pPr>
    </w:p>
    <w:p w:rsidR="008E3E5C" w:rsidRPr="008E3E5C" w:rsidRDefault="00777613" w:rsidP="00777613">
      <w:pPr>
        <w:rPr>
          <w:rFonts w:cstheme="minorHAnsi"/>
          <w:color w:val="000000"/>
          <w:shd w:val="clear" w:color="auto" w:fill="FFFFFF"/>
        </w:rPr>
      </w:pPr>
      <w:r w:rsidRPr="008E3E5C">
        <w:rPr>
          <w:rFonts w:cstheme="minorHAnsi"/>
          <w:color w:val="000000"/>
          <w:shd w:val="clear" w:color="auto" w:fill="FFFFFF"/>
        </w:rPr>
        <w:t>In the context of life support systems for a Mars Station it has been proposed that the RWGS reaction</w:t>
      </w:r>
      <w:r w:rsidR="00CF0A7D" w:rsidRPr="008E3E5C">
        <w:rPr>
          <w:rFonts w:cstheme="minorHAnsi"/>
          <w:color w:val="000000"/>
          <w:shd w:val="clear" w:color="auto" w:fill="FFFFFF"/>
        </w:rPr>
        <w:t xml:space="preserve"> combined with a process to gain oxygen from water, possibly electrolysis, </w:t>
      </w:r>
      <w:r w:rsidRPr="008E3E5C">
        <w:rPr>
          <w:rFonts w:cstheme="minorHAnsi"/>
          <w:color w:val="000000"/>
          <w:shd w:val="clear" w:color="auto" w:fill="FFFFFF"/>
        </w:rPr>
        <w:t xml:space="preserve">can be </w:t>
      </w:r>
      <w:r w:rsidR="00CF0A7D" w:rsidRPr="008E3E5C">
        <w:rPr>
          <w:rFonts w:cstheme="minorHAnsi"/>
          <w:color w:val="000000"/>
          <w:shd w:val="clear" w:color="auto" w:fill="FFFFFF"/>
        </w:rPr>
        <w:t xml:space="preserve">used to produce oxygen. </w:t>
      </w:r>
      <w:r w:rsidR="00505897" w:rsidRPr="008E3E5C">
        <w:rPr>
          <w:rFonts w:cstheme="minorHAnsi"/>
          <w:color w:val="000000"/>
          <w:shd w:val="clear" w:color="auto" w:fill="FFFFFF"/>
        </w:rPr>
        <w:t xml:space="preserve">The reactor needed is simply a pipe filled with catalyst, and is very similar to a Sabatier Reactor. The flow diagram below shows the process if the RWGS reaction is combined with electrolysis. The </w:t>
      </w:r>
      <w:proofErr w:type="spellStart"/>
      <w:r w:rsidR="00505897" w:rsidRPr="008E3E5C">
        <w:rPr>
          <w:rFonts w:cstheme="minorHAnsi"/>
          <w:color w:val="000000"/>
          <w:shd w:val="clear" w:color="auto" w:fill="FFFFFF"/>
        </w:rPr>
        <w:t>unreacted</w:t>
      </w:r>
      <w:proofErr w:type="spellEnd"/>
      <w:r w:rsidR="00505897" w:rsidRPr="008E3E5C">
        <w:rPr>
          <w:rFonts w:cstheme="minorHAnsi"/>
          <w:color w:val="000000"/>
          <w:shd w:val="clear" w:color="auto" w:fill="FFFFFF"/>
        </w:rPr>
        <w:t xml:space="preserve">, excess hydrogen can be recovered after the </w:t>
      </w:r>
      <w:r w:rsidR="009634D8" w:rsidRPr="008E3E5C">
        <w:rPr>
          <w:rFonts w:cstheme="minorHAnsi"/>
          <w:color w:val="000000"/>
          <w:shd w:val="clear" w:color="auto" w:fill="FFFFFF"/>
        </w:rPr>
        <w:t>reactor and the rest can be recovered after electrolysis. H</w:t>
      </w:r>
      <w:r w:rsidR="009634D8" w:rsidRPr="008E3E5C">
        <w:rPr>
          <w:rFonts w:cstheme="minorHAnsi"/>
          <w:color w:val="000000"/>
          <w:shd w:val="clear" w:color="auto" w:fill="FFFFFF"/>
          <w:vertAlign w:val="subscript"/>
        </w:rPr>
        <w:t>2</w:t>
      </w:r>
      <w:r w:rsidR="009634D8" w:rsidRPr="008E3E5C">
        <w:rPr>
          <w:rFonts w:cstheme="minorHAnsi"/>
          <w:color w:val="000000"/>
          <w:shd w:val="clear" w:color="auto" w:fill="FFFFFF"/>
        </w:rPr>
        <w:t xml:space="preserve"> is </w:t>
      </w:r>
      <w:r w:rsidR="006853E1" w:rsidRPr="008E3E5C">
        <w:rPr>
          <w:rFonts w:cstheme="minorHAnsi"/>
          <w:color w:val="000000"/>
          <w:shd w:val="clear" w:color="auto" w:fill="FFFFFF"/>
        </w:rPr>
        <w:t>only lost through leakages so can theoretically be fully recycled.</w:t>
      </w:r>
    </w:p>
    <w:p w:rsidR="00505897" w:rsidRPr="008E3E5C" w:rsidRDefault="00505897" w:rsidP="00777613">
      <w:pPr>
        <w:rPr>
          <w:rFonts w:cstheme="minorHAnsi"/>
          <w:color w:val="000000"/>
          <w:shd w:val="clear" w:color="auto" w:fill="FFFFFF"/>
        </w:rPr>
      </w:pPr>
      <w:r w:rsidRPr="008E3E5C">
        <w:rPr>
          <w:rFonts w:cstheme="minorHAnsi"/>
          <w:color w:val="000000"/>
          <w:shd w:val="clear" w:color="auto" w:fill="FFFFFF"/>
        </w:rPr>
        <w:drawing>
          <wp:inline distT="0" distB="0" distL="0" distR="0">
            <wp:extent cx="5734050" cy="2066925"/>
            <wp:effectExtent l="0" t="0" r="0" b="0"/>
            <wp:docPr id="1"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064896" cy="3105636"/>
                      <a:chOff x="611560" y="1988840"/>
                      <a:chExt cx="8064896" cy="3105636"/>
                    </a:xfrm>
                  </a:grpSpPr>
                  <a:grpSp>
                    <a:nvGrpSpPr>
                      <a:cNvPr id="9" name="Group 8"/>
                      <a:cNvGrpSpPr/>
                    </a:nvGrpSpPr>
                    <a:grpSpPr>
                      <a:xfrm>
                        <a:off x="1979712" y="2924944"/>
                        <a:ext cx="1800200" cy="1080120"/>
                        <a:chOff x="3275856" y="2276872"/>
                        <a:chExt cx="2736304" cy="2016224"/>
                      </a:xfrm>
                    </a:grpSpPr>
                    <a:sp>
                      <a:nvSpPr>
                        <a:cNvPr id="7" name="Rectangle 6"/>
                        <a:cNvSpPr/>
                      </a:nvSpPr>
                      <a:spPr>
                        <a:xfrm>
                          <a:off x="3275856" y="2276872"/>
                          <a:ext cx="2736304" cy="2016224"/>
                        </a:xfrm>
                        <a:prstGeom prst="rect">
                          <a:avLst/>
                        </a:prstGeom>
                      </a:spPr>
                      <a:txSp>
                        <a:txBody>
                          <a:bodyPr rtlCol="0" anchor="ct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endParaRPr lang="en-GB"/>
                          </a:p>
                        </a:txBody>
                        <a:useSpRect/>
                      </a:txSp>
                      <a:style>
                        <a:lnRef idx="2">
                          <a:schemeClr val="dk1"/>
                        </a:lnRef>
                        <a:fillRef idx="1">
                          <a:schemeClr val="lt1"/>
                        </a:fillRef>
                        <a:effectRef idx="0">
                          <a:schemeClr val="dk1"/>
                        </a:effectRef>
                        <a:fontRef idx="minor">
                          <a:schemeClr val="dk1"/>
                        </a:fontRef>
                      </a:style>
                    </a:sp>
                    <a:sp>
                      <a:nvSpPr>
                        <a:cNvPr id="8" name="TextBox 7"/>
                        <a:cNvSpPr txBox="1"/>
                      </a:nvSpPr>
                      <a:spPr>
                        <a:xfrm>
                          <a:off x="3779912" y="2996952"/>
                          <a:ext cx="1728191" cy="560154"/>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GB" sz="2000" b="1" dirty="0" smtClean="0"/>
                              <a:t>RWGS</a:t>
                            </a:r>
                            <a:endParaRPr lang="en-GB" sz="1400" b="1" dirty="0"/>
                          </a:p>
                        </a:txBody>
                        <a:useSpRect/>
                      </a:txSp>
                    </a:sp>
                  </a:grpSp>
                  <a:grpSp>
                    <a:nvGrpSpPr>
                      <a:cNvPr id="12" name="Group 11"/>
                      <a:cNvGrpSpPr/>
                    </a:nvGrpSpPr>
                    <a:grpSpPr>
                      <a:xfrm>
                        <a:off x="5220072" y="2924944"/>
                        <a:ext cx="2448272" cy="1080120"/>
                        <a:chOff x="3275856" y="3010044"/>
                        <a:chExt cx="2736304" cy="2016224"/>
                      </a:xfrm>
                    </a:grpSpPr>
                    <a:sp>
                      <a:nvSpPr>
                        <a:cNvPr id="13" name="Rectangle 12"/>
                        <a:cNvSpPr/>
                      </a:nvSpPr>
                      <a:spPr>
                        <a:xfrm>
                          <a:off x="3275856" y="3010044"/>
                          <a:ext cx="2736304" cy="2016224"/>
                        </a:xfrm>
                        <a:prstGeom prst="rect">
                          <a:avLst/>
                        </a:prstGeom>
                      </a:spPr>
                      <a:txSp>
                        <a:txBody>
                          <a:bodyPr rtlCol="0" anchor="ct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endParaRPr lang="en-GB"/>
                          </a:p>
                        </a:txBody>
                        <a:useSpRect/>
                      </a:txSp>
                      <a:style>
                        <a:lnRef idx="2">
                          <a:schemeClr val="dk1"/>
                        </a:lnRef>
                        <a:fillRef idx="1">
                          <a:schemeClr val="lt1"/>
                        </a:fillRef>
                        <a:effectRef idx="0">
                          <a:schemeClr val="dk1"/>
                        </a:effectRef>
                        <a:fontRef idx="minor">
                          <a:schemeClr val="dk1"/>
                        </a:fontRef>
                      </a:style>
                    </a:sp>
                    <a:sp>
                      <a:nvSpPr>
                        <a:cNvPr id="14" name="TextBox 13"/>
                        <a:cNvSpPr txBox="1"/>
                      </a:nvSpPr>
                      <a:spPr>
                        <a:xfrm>
                          <a:off x="3839213" y="3715722"/>
                          <a:ext cx="1728191" cy="560154"/>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GB" sz="2000" b="1" dirty="0" smtClean="0"/>
                              <a:t>Electrolysis</a:t>
                            </a:r>
                            <a:endParaRPr lang="en-GB" sz="1400" b="1" dirty="0"/>
                          </a:p>
                        </a:txBody>
                        <a:useSpRect/>
                      </a:txSp>
                    </a:sp>
                  </a:grpSp>
                  <a:cxnSp>
                    <a:nvCxnSpPr>
                      <a:cNvPr id="15" name="Straight Arrow Connector 14"/>
                      <a:cNvCxnSpPr/>
                    </a:nvCxnSpPr>
                    <a:spPr>
                      <a:xfrm>
                        <a:off x="3779912" y="3429000"/>
                        <a:ext cx="1440160" cy="0"/>
                      </a:xfrm>
                      <a:prstGeom prst="straightConnector1">
                        <a:avLst/>
                      </a:prstGeom>
                      <a:ln>
                        <a:tailEnd type="arrow"/>
                      </a:ln>
                    </a:spPr>
                    <a:style>
                      <a:lnRef idx="1">
                        <a:schemeClr val="dk1"/>
                      </a:lnRef>
                      <a:fillRef idx="0">
                        <a:schemeClr val="dk1"/>
                      </a:fillRef>
                      <a:effectRef idx="0">
                        <a:schemeClr val="dk1"/>
                      </a:effectRef>
                      <a:fontRef idx="minor">
                        <a:schemeClr val="tx1"/>
                      </a:fontRef>
                    </a:style>
                  </a:cxnSp>
                  <a:sp>
                    <a:nvSpPr>
                      <a:cNvPr id="21" name="TextBox 20"/>
                      <a:cNvSpPr txBox="1"/>
                    </a:nvSpPr>
                    <a:spPr>
                      <a:xfrm>
                        <a:off x="611560" y="3212976"/>
                        <a:ext cx="720080"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GB" b="1" dirty="0" smtClean="0"/>
                            <a:t>CO</a:t>
                          </a:r>
                          <a:r>
                            <a:rPr lang="en-GB" b="1" baseline="-25000" dirty="0" smtClean="0"/>
                            <a:t>2</a:t>
                          </a:r>
                        </a:p>
                      </a:txBody>
                      <a:useSpRect/>
                    </a:txSp>
                  </a:sp>
                  <a:cxnSp>
                    <a:nvCxnSpPr>
                      <a:cNvPr id="22" name="Straight Arrow Connector 21"/>
                      <a:cNvCxnSpPr/>
                    </a:nvCxnSpPr>
                    <a:spPr>
                      <a:xfrm>
                        <a:off x="7668344" y="3429000"/>
                        <a:ext cx="864096" cy="0"/>
                      </a:xfrm>
                      <a:prstGeom prst="straightConnector1">
                        <a:avLst/>
                      </a:prstGeom>
                      <a:ln>
                        <a:tailEnd type="arrow"/>
                      </a:ln>
                    </a:spPr>
                    <a:style>
                      <a:lnRef idx="1">
                        <a:schemeClr val="dk1"/>
                      </a:lnRef>
                      <a:fillRef idx="0">
                        <a:schemeClr val="dk1"/>
                      </a:fillRef>
                      <a:effectRef idx="0">
                        <a:schemeClr val="dk1"/>
                      </a:effectRef>
                      <a:fontRef idx="minor">
                        <a:schemeClr val="tx1"/>
                      </a:fontRef>
                    </a:style>
                  </a:cxnSp>
                  <a:cxnSp>
                    <a:nvCxnSpPr>
                      <a:cNvPr id="25" name="Straight Connector 24"/>
                      <a:cNvCxnSpPr>
                        <a:stCxn id="13" idx="2"/>
                      </a:cNvCxnSpPr>
                    </a:nvCxnSpPr>
                    <a:spPr>
                      <a:xfrm>
                        <a:off x="6444208" y="4005064"/>
                        <a:ext cx="0" cy="720080"/>
                      </a:xfrm>
                      <a:prstGeom prst="line">
                        <a:avLst/>
                      </a:prstGeom>
                    </a:spPr>
                    <a:style>
                      <a:lnRef idx="1">
                        <a:schemeClr val="dk1"/>
                      </a:lnRef>
                      <a:fillRef idx="0">
                        <a:schemeClr val="dk1"/>
                      </a:fillRef>
                      <a:effectRef idx="0">
                        <a:schemeClr val="dk1"/>
                      </a:effectRef>
                      <a:fontRef idx="minor">
                        <a:schemeClr val="tx1"/>
                      </a:fontRef>
                    </a:style>
                  </a:cxnSp>
                  <a:cxnSp>
                    <a:nvCxnSpPr>
                      <a:cNvPr id="28" name="Straight Connector 27"/>
                      <a:cNvCxnSpPr/>
                    </a:nvCxnSpPr>
                    <a:spPr>
                      <a:xfrm>
                        <a:off x="4355976" y="4725144"/>
                        <a:ext cx="2088232" cy="0"/>
                      </a:xfrm>
                      <a:prstGeom prst="line">
                        <a:avLst/>
                      </a:prstGeom>
                      <a:ln>
                        <a:headEnd type="arrow" w="med" len="med"/>
                        <a:tailEnd type="none" w="med" len="med"/>
                      </a:ln>
                    </a:spPr>
                    <a:style>
                      <a:lnRef idx="1">
                        <a:schemeClr val="dk1"/>
                      </a:lnRef>
                      <a:fillRef idx="0">
                        <a:schemeClr val="dk1"/>
                      </a:fillRef>
                      <a:effectRef idx="0">
                        <a:schemeClr val="dk1"/>
                      </a:effectRef>
                      <a:fontRef idx="minor">
                        <a:schemeClr val="tx1"/>
                      </a:fontRef>
                    </a:style>
                  </a:cxnSp>
                  <a:cxnSp>
                    <a:nvCxnSpPr>
                      <a:cNvPr id="30" name="Straight Arrow Connector 29"/>
                      <a:cNvCxnSpPr/>
                    </a:nvCxnSpPr>
                    <a:spPr>
                      <a:xfrm flipV="1">
                        <a:off x="1619672" y="3429000"/>
                        <a:ext cx="0" cy="1296144"/>
                      </a:xfrm>
                      <a:prstGeom prst="straightConnector1">
                        <a:avLst/>
                      </a:prstGeom>
                      <a:ln>
                        <a:tailEnd type="arrow"/>
                      </a:ln>
                    </a:spPr>
                    <a:style>
                      <a:lnRef idx="1">
                        <a:schemeClr val="dk1"/>
                      </a:lnRef>
                      <a:fillRef idx="0">
                        <a:schemeClr val="dk1"/>
                      </a:fillRef>
                      <a:effectRef idx="0">
                        <a:schemeClr val="dk1"/>
                      </a:effectRef>
                      <a:fontRef idx="minor">
                        <a:schemeClr val="tx1"/>
                      </a:fontRef>
                    </a:style>
                  </a:cxnSp>
                  <a:cxnSp>
                    <a:nvCxnSpPr>
                      <a:cNvPr id="36" name="Straight Arrow Connector 35"/>
                      <a:cNvCxnSpPr/>
                    </a:nvCxnSpPr>
                    <a:spPr>
                      <a:xfrm>
                        <a:off x="1115616" y="3429000"/>
                        <a:ext cx="864096" cy="0"/>
                      </a:xfrm>
                      <a:prstGeom prst="straightConnector1">
                        <a:avLst/>
                      </a:prstGeom>
                      <a:ln>
                        <a:tailEnd type="arrow"/>
                      </a:ln>
                    </a:spPr>
                    <a:style>
                      <a:lnRef idx="1">
                        <a:schemeClr val="dk1"/>
                      </a:lnRef>
                      <a:fillRef idx="0">
                        <a:schemeClr val="dk1"/>
                      </a:fillRef>
                      <a:effectRef idx="0">
                        <a:schemeClr val="dk1"/>
                      </a:effectRef>
                      <a:fontRef idx="minor">
                        <a:schemeClr val="tx1"/>
                      </a:fontRef>
                    </a:style>
                  </a:cxnSp>
                  <a:sp>
                    <a:nvSpPr>
                      <a:cNvPr id="37" name="TextBox 36"/>
                      <a:cNvSpPr txBox="1"/>
                    </a:nvSpPr>
                    <a:spPr>
                      <a:xfrm>
                        <a:off x="8028384" y="3068960"/>
                        <a:ext cx="648072"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GB" b="1" dirty="0" smtClean="0"/>
                            <a:t>½ O</a:t>
                          </a:r>
                          <a:r>
                            <a:rPr lang="en-GB" b="1" baseline="-25000" dirty="0" smtClean="0"/>
                            <a:t>2</a:t>
                          </a:r>
                        </a:p>
                      </a:txBody>
                      <a:useSpRect/>
                    </a:txSp>
                  </a:sp>
                  <a:cxnSp>
                    <a:nvCxnSpPr>
                      <a:cNvPr id="44" name="Straight Arrow Connector 43"/>
                      <a:cNvCxnSpPr/>
                    </a:nvCxnSpPr>
                    <a:spPr>
                      <a:xfrm flipV="1">
                        <a:off x="3131840" y="2276872"/>
                        <a:ext cx="0" cy="648072"/>
                      </a:xfrm>
                      <a:prstGeom prst="straightConnector1">
                        <a:avLst/>
                      </a:prstGeom>
                      <a:ln>
                        <a:tailEnd type="arrow"/>
                      </a:ln>
                    </a:spPr>
                    <a:style>
                      <a:lnRef idx="1">
                        <a:schemeClr val="dk1"/>
                      </a:lnRef>
                      <a:fillRef idx="0">
                        <a:schemeClr val="dk1"/>
                      </a:fillRef>
                      <a:effectRef idx="0">
                        <a:schemeClr val="dk1"/>
                      </a:effectRef>
                      <a:fontRef idx="minor">
                        <a:schemeClr val="tx1"/>
                      </a:fontRef>
                    </a:style>
                  </a:cxnSp>
                  <a:sp>
                    <a:nvSpPr>
                      <a:cNvPr id="46" name="TextBox 45"/>
                      <a:cNvSpPr txBox="1"/>
                    </a:nvSpPr>
                    <a:spPr>
                      <a:xfrm>
                        <a:off x="2915816" y="1988840"/>
                        <a:ext cx="648072"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GB" b="1" dirty="0" smtClean="0"/>
                            <a:t>CO</a:t>
                          </a:r>
                          <a:endParaRPr lang="en-GB" b="1" baseline="-25000" dirty="0" smtClean="0"/>
                        </a:p>
                      </a:txBody>
                      <a:useSpRect/>
                    </a:txSp>
                  </a:sp>
                  <a:sp>
                    <a:nvSpPr>
                      <a:cNvPr id="48" name="TextBox 47"/>
                      <a:cNvSpPr txBox="1"/>
                    </a:nvSpPr>
                    <a:spPr>
                      <a:xfrm>
                        <a:off x="4427984" y="3068960"/>
                        <a:ext cx="792088"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GB" b="1" dirty="0" smtClean="0"/>
                            <a:t>H</a:t>
                          </a:r>
                          <a:r>
                            <a:rPr lang="en-GB" b="1" baseline="-25000" dirty="0" smtClean="0"/>
                            <a:t>2</a:t>
                          </a:r>
                          <a:r>
                            <a:rPr lang="en-GB" b="1" dirty="0" smtClean="0"/>
                            <a:t>O</a:t>
                          </a:r>
                        </a:p>
                      </a:txBody>
                      <a:useSpRect/>
                    </a:txSp>
                  </a:sp>
                  <a:cxnSp>
                    <a:nvCxnSpPr>
                      <a:cNvPr id="29" name="Straight Arrow Connector 28"/>
                      <a:cNvCxnSpPr/>
                    </a:nvCxnSpPr>
                    <a:spPr>
                      <a:xfrm>
                        <a:off x="4355976" y="3429000"/>
                        <a:ext cx="0" cy="1296144"/>
                      </a:xfrm>
                      <a:prstGeom prst="straightConnector1">
                        <a:avLst/>
                      </a:prstGeom>
                      <a:ln>
                        <a:tailEnd type="arrow"/>
                      </a:ln>
                    </a:spPr>
                    <a:style>
                      <a:lnRef idx="1">
                        <a:schemeClr val="dk1"/>
                      </a:lnRef>
                      <a:fillRef idx="0">
                        <a:schemeClr val="dk1"/>
                      </a:fillRef>
                      <a:effectRef idx="0">
                        <a:schemeClr val="dk1"/>
                      </a:effectRef>
                      <a:fontRef idx="minor">
                        <a:schemeClr val="tx1"/>
                      </a:fontRef>
                    </a:style>
                  </a:cxnSp>
                  <a:sp>
                    <a:nvSpPr>
                      <a:cNvPr id="34" name="TextBox 33"/>
                      <a:cNvSpPr txBox="1"/>
                    </a:nvSpPr>
                    <a:spPr>
                      <a:xfrm>
                        <a:off x="3851920" y="4077072"/>
                        <a:ext cx="792088"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GB" b="1" dirty="0" smtClean="0"/>
                            <a:t>2H</a:t>
                          </a:r>
                          <a:r>
                            <a:rPr lang="en-GB" b="1" baseline="-25000" dirty="0" smtClean="0"/>
                            <a:t>2</a:t>
                          </a:r>
                          <a:endParaRPr lang="en-GB" b="1" dirty="0" smtClean="0"/>
                        </a:p>
                      </a:txBody>
                      <a:useSpRect/>
                    </a:txSp>
                  </a:sp>
                  <a:cxnSp>
                    <a:nvCxnSpPr>
                      <a:cNvPr id="41" name="Straight Connector 40"/>
                      <a:cNvCxnSpPr/>
                    </a:nvCxnSpPr>
                    <a:spPr>
                      <a:xfrm>
                        <a:off x="1619672" y="4725144"/>
                        <a:ext cx="2736304" cy="0"/>
                      </a:xfrm>
                      <a:prstGeom prst="line">
                        <a:avLst/>
                      </a:prstGeom>
                    </a:spPr>
                    <a:style>
                      <a:lnRef idx="1">
                        <a:schemeClr val="dk1"/>
                      </a:lnRef>
                      <a:fillRef idx="0">
                        <a:schemeClr val="dk1"/>
                      </a:fillRef>
                      <a:effectRef idx="0">
                        <a:schemeClr val="dk1"/>
                      </a:effectRef>
                      <a:fontRef idx="minor">
                        <a:schemeClr val="tx1"/>
                      </a:fontRef>
                    </a:style>
                  </a:cxnSp>
                  <a:sp>
                    <a:nvSpPr>
                      <a:cNvPr id="42" name="TextBox 41"/>
                      <a:cNvSpPr txBox="1"/>
                    </a:nvSpPr>
                    <a:spPr>
                      <a:xfrm>
                        <a:off x="5292080" y="4725144"/>
                        <a:ext cx="504056"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GB" b="1" dirty="0" smtClean="0"/>
                            <a:t>H</a:t>
                          </a:r>
                          <a:r>
                            <a:rPr lang="en-GB" b="1" baseline="-25000" dirty="0" smtClean="0"/>
                            <a:t>2</a:t>
                          </a:r>
                          <a:endParaRPr lang="en-GB" b="1" dirty="0" smtClean="0"/>
                        </a:p>
                      </a:txBody>
                      <a:useSpRect/>
                    </a:txSp>
                  </a:sp>
                  <a:sp>
                    <a:nvSpPr>
                      <a:cNvPr id="43" name="TextBox 42"/>
                      <a:cNvSpPr txBox="1"/>
                    </a:nvSpPr>
                    <a:spPr>
                      <a:xfrm>
                        <a:off x="2627784" y="4725144"/>
                        <a:ext cx="648072"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GB" b="1" dirty="0" smtClean="0"/>
                            <a:t>3H</a:t>
                          </a:r>
                          <a:r>
                            <a:rPr lang="en-GB" b="1" baseline="-25000" dirty="0" smtClean="0"/>
                            <a:t>2</a:t>
                          </a:r>
                          <a:endParaRPr lang="en-GB" b="1" dirty="0" smtClean="0"/>
                        </a:p>
                      </a:txBody>
                      <a:useSpRect/>
                    </a:txSp>
                  </a:sp>
                </lc:lockedCanvas>
              </a:graphicData>
            </a:graphic>
          </wp:inline>
        </w:drawing>
      </w:r>
    </w:p>
    <w:p w:rsidR="00851969" w:rsidRDefault="00014F72">
      <w:pPr>
        <w:rPr>
          <w:rFonts w:cstheme="minorHAnsi"/>
          <w:color w:val="000000"/>
          <w:shd w:val="clear" w:color="auto" w:fill="FFFFFF"/>
        </w:rPr>
      </w:pPr>
      <w:r>
        <w:rPr>
          <w:rFonts w:cstheme="minorHAnsi"/>
          <w:color w:val="000000"/>
          <w:shd w:val="clear" w:color="auto" w:fill="FFFFFF"/>
        </w:rPr>
        <w:t>The water is separated off using a condenser to remove the vapour and the remaining gases (CO, H</w:t>
      </w:r>
      <w:r w:rsidRPr="00014F72">
        <w:rPr>
          <w:rFonts w:cstheme="minorHAnsi"/>
          <w:color w:val="000000"/>
          <w:shd w:val="clear" w:color="auto" w:fill="FFFFFF"/>
          <w:vertAlign w:val="subscript"/>
        </w:rPr>
        <w:t>2</w:t>
      </w:r>
      <w:r>
        <w:rPr>
          <w:rFonts w:cstheme="minorHAnsi"/>
          <w:color w:val="000000"/>
          <w:shd w:val="clear" w:color="auto" w:fill="FFFFFF"/>
        </w:rPr>
        <w:t xml:space="preserve"> and any </w:t>
      </w:r>
      <w:proofErr w:type="spellStart"/>
      <w:r>
        <w:rPr>
          <w:rFonts w:cstheme="minorHAnsi"/>
          <w:color w:val="000000"/>
          <w:shd w:val="clear" w:color="auto" w:fill="FFFFFF"/>
        </w:rPr>
        <w:t>unreacted</w:t>
      </w:r>
      <w:proofErr w:type="spellEnd"/>
      <w:r>
        <w:rPr>
          <w:rFonts w:cstheme="minorHAnsi"/>
          <w:color w:val="000000"/>
          <w:shd w:val="clear" w:color="auto" w:fill="FFFFFF"/>
        </w:rPr>
        <w:t xml:space="preserve"> CO</w:t>
      </w:r>
      <w:r w:rsidRPr="00014F72">
        <w:rPr>
          <w:rFonts w:cstheme="minorHAnsi"/>
          <w:color w:val="000000"/>
          <w:shd w:val="clear" w:color="auto" w:fill="FFFFFF"/>
          <w:vertAlign w:val="subscript"/>
        </w:rPr>
        <w:t>2</w:t>
      </w:r>
      <w:r>
        <w:rPr>
          <w:rFonts w:cstheme="minorHAnsi"/>
          <w:color w:val="000000"/>
          <w:shd w:val="clear" w:color="auto" w:fill="FFFFFF"/>
        </w:rPr>
        <w:t xml:space="preserve">) are passed through a membrane separator. The CO2 and H2 components are recycled back into the reactor and the CO is either vented or stored for use in a different process. </w:t>
      </w:r>
      <w:r w:rsidRPr="008E3E5C">
        <w:rPr>
          <w:rFonts w:cstheme="minorHAnsi"/>
          <w:color w:val="000000"/>
          <w:shd w:val="clear" w:color="auto" w:fill="FFFFFF"/>
        </w:rPr>
        <w:t>Pioneer Astronautics conducted experiments on the RWGS reaction and found that a conversion of nearly 100% could be achieved when a silica/copper catalyst was used at 350C, 0.2 bar and with a CO2/H2 ratio of 1:3.</w:t>
      </w:r>
    </w:p>
    <w:p w:rsidR="00C57601" w:rsidRPr="008E3E5C" w:rsidRDefault="00C57601">
      <w:pPr>
        <w:rPr>
          <w:rFonts w:cstheme="minorHAnsi"/>
        </w:rPr>
      </w:pPr>
      <w:r>
        <w:rPr>
          <w:rFonts w:cstheme="minorHAnsi"/>
          <w:color w:val="000000"/>
          <w:shd w:val="clear" w:color="auto" w:fill="FFFFFF"/>
        </w:rPr>
        <w:t>A large disadvantage with this method of oxygen production is that half of all oxygen molecules are lost in the carbon monoxide produced. Because the carbon dioxide available (at this step) is limited if Martian resources are not utilised, this means that a resupply of oxygen would be required</w:t>
      </w:r>
      <w:r w:rsidR="002F06DE">
        <w:rPr>
          <w:rFonts w:cstheme="minorHAnsi"/>
          <w:color w:val="000000"/>
          <w:shd w:val="clear" w:color="auto" w:fill="FFFFFF"/>
        </w:rPr>
        <w:t xml:space="preserve"> from Earth</w:t>
      </w:r>
      <w:r>
        <w:rPr>
          <w:rFonts w:cstheme="minorHAnsi"/>
          <w:color w:val="000000"/>
          <w:shd w:val="clear" w:color="auto" w:fill="FFFFFF"/>
        </w:rPr>
        <w:t xml:space="preserve">. </w:t>
      </w:r>
      <w:r w:rsidR="002F06DE">
        <w:rPr>
          <w:rFonts w:cstheme="minorHAnsi"/>
          <w:color w:val="000000"/>
          <w:shd w:val="clear" w:color="auto" w:fill="FFFFFF"/>
        </w:rPr>
        <w:t>The table below shows the total costs of transporting all required oxygen from earth every 18 months, and the costs of transporting the oxygen</w:t>
      </w:r>
      <w:r w:rsidR="00957310">
        <w:rPr>
          <w:rFonts w:cstheme="minorHAnsi"/>
          <w:color w:val="000000"/>
          <w:shd w:val="clear" w:color="auto" w:fill="FFFFFF"/>
        </w:rPr>
        <w:t xml:space="preserve"> needed to supplement that produced in the RWGS reaction</w:t>
      </w:r>
    </w:p>
    <w:tbl>
      <w:tblPr>
        <w:tblStyle w:val="TableGrid"/>
        <w:tblW w:w="0" w:type="auto"/>
        <w:tblLook w:val="04A0"/>
      </w:tblPr>
      <w:tblGrid>
        <w:gridCol w:w="3080"/>
        <w:gridCol w:w="1540"/>
        <w:gridCol w:w="1541"/>
        <w:gridCol w:w="1540"/>
        <w:gridCol w:w="1541"/>
      </w:tblGrid>
      <w:tr w:rsidR="00C57601" w:rsidTr="00C57601">
        <w:tc>
          <w:tcPr>
            <w:tcW w:w="3080" w:type="dxa"/>
            <w:vMerge w:val="restart"/>
            <w:vAlign w:val="center"/>
          </w:tcPr>
          <w:p w:rsidR="00C57601" w:rsidRDefault="002F06DE" w:rsidP="00C57601">
            <w:pPr>
              <w:jc w:val="center"/>
              <w:rPr>
                <w:rFonts w:cstheme="minorHAnsi"/>
              </w:rPr>
            </w:pPr>
            <w:r>
              <w:rPr>
                <w:rFonts w:cstheme="minorHAnsi"/>
              </w:rPr>
              <w:t>Over 18 months</w:t>
            </w:r>
          </w:p>
        </w:tc>
        <w:tc>
          <w:tcPr>
            <w:tcW w:w="3081" w:type="dxa"/>
            <w:gridSpan w:val="2"/>
            <w:vAlign w:val="center"/>
          </w:tcPr>
          <w:p w:rsidR="00C57601" w:rsidRDefault="00C57601" w:rsidP="00C57601">
            <w:pPr>
              <w:jc w:val="center"/>
              <w:rPr>
                <w:rFonts w:cstheme="minorHAnsi"/>
              </w:rPr>
            </w:pPr>
            <w:r>
              <w:rPr>
                <w:rFonts w:cstheme="minorHAnsi"/>
              </w:rPr>
              <w:t>Total Resupply</w:t>
            </w:r>
          </w:p>
        </w:tc>
        <w:tc>
          <w:tcPr>
            <w:tcW w:w="3081" w:type="dxa"/>
            <w:gridSpan w:val="2"/>
            <w:vAlign w:val="center"/>
          </w:tcPr>
          <w:p w:rsidR="00C57601" w:rsidRDefault="00C57601" w:rsidP="00C57601">
            <w:pPr>
              <w:jc w:val="center"/>
              <w:rPr>
                <w:rFonts w:cstheme="minorHAnsi"/>
              </w:rPr>
            </w:pPr>
            <w:r>
              <w:rPr>
                <w:rFonts w:cstheme="minorHAnsi"/>
              </w:rPr>
              <w:t>Resupply Required with RWGS</w:t>
            </w:r>
          </w:p>
        </w:tc>
      </w:tr>
      <w:tr w:rsidR="00C57601" w:rsidTr="00C57601">
        <w:tc>
          <w:tcPr>
            <w:tcW w:w="3080" w:type="dxa"/>
            <w:vMerge/>
            <w:vAlign w:val="center"/>
          </w:tcPr>
          <w:p w:rsidR="00C57601" w:rsidRDefault="00C57601" w:rsidP="00C57601">
            <w:pPr>
              <w:jc w:val="center"/>
              <w:rPr>
                <w:rFonts w:cstheme="minorHAnsi"/>
              </w:rPr>
            </w:pPr>
          </w:p>
        </w:tc>
        <w:tc>
          <w:tcPr>
            <w:tcW w:w="1540" w:type="dxa"/>
            <w:vAlign w:val="center"/>
          </w:tcPr>
          <w:p w:rsidR="00C57601" w:rsidRDefault="00C57601" w:rsidP="00C57601">
            <w:pPr>
              <w:jc w:val="center"/>
              <w:rPr>
                <w:rFonts w:cstheme="minorHAnsi"/>
              </w:rPr>
            </w:pPr>
            <w:r>
              <w:rPr>
                <w:rFonts w:cstheme="minorHAnsi"/>
              </w:rPr>
              <w:t>Weight (kg)</w:t>
            </w:r>
          </w:p>
        </w:tc>
        <w:tc>
          <w:tcPr>
            <w:tcW w:w="1541" w:type="dxa"/>
            <w:vAlign w:val="center"/>
          </w:tcPr>
          <w:p w:rsidR="00C57601" w:rsidRDefault="00C57601" w:rsidP="00C57601">
            <w:pPr>
              <w:jc w:val="center"/>
              <w:rPr>
                <w:rFonts w:cstheme="minorHAnsi"/>
              </w:rPr>
            </w:pPr>
            <w:r>
              <w:rPr>
                <w:rFonts w:cstheme="minorHAnsi"/>
              </w:rPr>
              <w:t>Cost</w:t>
            </w:r>
          </w:p>
        </w:tc>
        <w:tc>
          <w:tcPr>
            <w:tcW w:w="1540" w:type="dxa"/>
            <w:vAlign w:val="center"/>
          </w:tcPr>
          <w:p w:rsidR="00C57601" w:rsidRDefault="00C57601" w:rsidP="000D01F9">
            <w:pPr>
              <w:jc w:val="center"/>
              <w:rPr>
                <w:rFonts w:cstheme="minorHAnsi"/>
              </w:rPr>
            </w:pPr>
            <w:r>
              <w:rPr>
                <w:rFonts w:cstheme="minorHAnsi"/>
              </w:rPr>
              <w:t>Weight (kg)</w:t>
            </w:r>
          </w:p>
        </w:tc>
        <w:tc>
          <w:tcPr>
            <w:tcW w:w="1541" w:type="dxa"/>
            <w:vAlign w:val="center"/>
          </w:tcPr>
          <w:p w:rsidR="00C57601" w:rsidRDefault="00C57601" w:rsidP="000D01F9">
            <w:pPr>
              <w:jc w:val="center"/>
              <w:rPr>
                <w:rFonts w:cstheme="minorHAnsi"/>
              </w:rPr>
            </w:pPr>
            <w:r>
              <w:rPr>
                <w:rFonts w:cstheme="minorHAnsi"/>
              </w:rPr>
              <w:t>Cost</w:t>
            </w:r>
          </w:p>
        </w:tc>
      </w:tr>
      <w:tr w:rsidR="00C57601" w:rsidTr="00C57601">
        <w:tc>
          <w:tcPr>
            <w:tcW w:w="3080" w:type="dxa"/>
            <w:vAlign w:val="center"/>
          </w:tcPr>
          <w:p w:rsidR="00C57601" w:rsidRDefault="00C57601" w:rsidP="00C57601">
            <w:pPr>
              <w:jc w:val="center"/>
              <w:rPr>
                <w:rFonts w:cstheme="minorHAnsi"/>
              </w:rPr>
            </w:pPr>
            <w:r>
              <w:rPr>
                <w:rFonts w:cstheme="minorHAnsi"/>
              </w:rPr>
              <w:t>Minimum Oxygen Required</w:t>
            </w:r>
          </w:p>
        </w:tc>
        <w:tc>
          <w:tcPr>
            <w:tcW w:w="1540" w:type="dxa"/>
            <w:vAlign w:val="center"/>
          </w:tcPr>
          <w:p w:rsidR="00C57601" w:rsidRDefault="00C57601" w:rsidP="00C57601">
            <w:pPr>
              <w:jc w:val="center"/>
              <w:rPr>
                <w:rFonts w:cstheme="minorHAnsi"/>
              </w:rPr>
            </w:pPr>
            <w:r>
              <w:rPr>
                <w:rFonts w:cstheme="minorHAnsi"/>
              </w:rPr>
              <w:t>4687</w:t>
            </w:r>
          </w:p>
        </w:tc>
        <w:tc>
          <w:tcPr>
            <w:tcW w:w="1541" w:type="dxa"/>
            <w:vAlign w:val="center"/>
          </w:tcPr>
          <w:p w:rsidR="00C57601" w:rsidRDefault="00C57601" w:rsidP="00C57601">
            <w:pPr>
              <w:jc w:val="center"/>
              <w:rPr>
                <w:rFonts w:cstheme="minorHAnsi"/>
              </w:rPr>
            </w:pPr>
            <w:r>
              <w:rPr>
                <w:rFonts w:cstheme="minorHAnsi"/>
              </w:rPr>
              <w:t>£4.69 billion</w:t>
            </w:r>
          </w:p>
        </w:tc>
        <w:tc>
          <w:tcPr>
            <w:tcW w:w="1540" w:type="dxa"/>
            <w:vAlign w:val="center"/>
          </w:tcPr>
          <w:p w:rsidR="00C57601" w:rsidRDefault="000D2898" w:rsidP="00C57601">
            <w:pPr>
              <w:jc w:val="center"/>
              <w:rPr>
                <w:rFonts w:cstheme="minorHAnsi"/>
              </w:rPr>
            </w:pPr>
            <w:r>
              <w:rPr>
                <w:rFonts w:cstheme="minorHAnsi"/>
              </w:rPr>
              <w:t>2343.5</w:t>
            </w:r>
          </w:p>
        </w:tc>
        <w:tc>
          <w:tcPr>
            <w:tcW w:w="1541" w:type="dxa"/>
            <w:vAlign w:val="center"/>
          </w:tcPr>
          <w:p w:rsidR="00C57601" w:rsidRDefault="00C57601" w:rsidP="00C57601">
            <w:pPr>
              <w:jc w:val="center"/>
              <w:rPr>
                <w:rFonts w:cstheme="minorHAnsi"/>
              </w:rPr>
            </w:pPr>
            <w:r>
              <w:rPr>
                <w:rFonts w:cstheme="minorHAnsi"/>
              </w:rPr>
              <w:t>£</w:t>
            </w:r>
            <w:r w:rsidR="002F06DE">
              <w:rPr>
                <w:rFonts w:cstheme="minorHAnsi"/>
              </w:rPr>
              <w:t>2.34 billion</w:t>
            </w:r>
          </w:p>
        </w:tc>
      </w:tr>
      <w:tr w:rsidR="00C57601" w:rsidTr="00C57601">
        <w:tc>
          <w:tcPr>
            <w:tcW w:w="3080" w:type="dxa"/>
            <w:vAlign w:val="center"/>
          </w:tcPr>
          <w:p w:rsidR="00C57601" w:rsidRDefault="00C57601" w:rsidP="00C57601">
            <w:pPr>
              <w:jc w:val="center"/>
              <w:rPr>
                <w:rFonts w:cstheme="minorHAnsi"/>
              </w:rPr>
            </w:pPr>
            <w:r>
              <w:rPr>
                <w:rFonts w:cstheme="minorHAnsi"/>
              </w:rPr>
              <w:t>With 25% Safety</w:t>
            </w:r>
          </w:p>
        </w:tc>
        <w:tc>
          <w:tcPr>
            <w:tcW w:w="1540" w:type="dxa"/>
            <w:vAlign w:val="center"/>
          </w:tcPr>
          <w:p w:rsidR="00C57601" w:rsidRDefault="00C57601" w:rsidP="00C57601">
            <w:pPr>
              <w:jc w:val="center"/>
              <w:rPr>
                <w:rFonts w:cstheme="minorHAnsi"/>
              </w:rPr>
            </w:pPr>
            <w:r>
              <w:rPr>
                <w:rFonts w:cstheme="minorHAnsi"/>
              </w:rPr>
              <w:t>5859</w:t>
            </w:r>
          </w:p>
        </w:tc>
        <w:tc>
          <w:tcPr>
            <w:tcW w:w="1541" w:type="dxa"/>
            <w:vAlign w:val="center"/>
          </w:tcPr>
          <w:p w:rsidR="00C57601" w:rsidRDefault="00C57601" w:rsidP="00C57601">
            <w:pPr>
              <w:jc w:val="center"/>
              <w:rPr>
                <w:rFonts w:cstheme="minorHAnsi"/>
              </w:rPr>
            </w:pPr>
            <w:r>
              <w:rPr>
                <w:rFonts w:cstheme="minorHAnsi"/>
              </w:rPr>
              <w:t>£5.86 billion</w:t>
            </w:r>
          </w:p>
        </w:tc>
        <w:tc>
          <w:tcPr>
            <w:tcW w:w="1540" w:type="dxa"/>
            <w:vAlign w:val="center"/>
          </w:tcPr>
          <w:p w:rsidR="00C57601" w:rsidRDefault="002F06DE" w:rsidP="00C57601">
            <w:pPr>
              <w:jc w:val="center"/>
              <w:rPr>
                <w:rFonts w:cstheme="minorHAnsi"/>
              </w:rPr>
            </w:pPr>
            <w:r>
              <w:rPr>
                <w:rFonts w:cstheme="minorHAnsi"/>
              </w:rPr>
              <w:t>2929.5</w:t>
            </w:r>
          </w:p>
        </w:tc>
        <w:tc>
          <w:tcPr>
            <w:tcW w:w="1541" w:type="dxa"/>
            <w:vAlign w:val="center"/>
          </w:tcPr>
          <w:p w:rsidR="00C57601" w:rsidRDefault="00A02A3B" w:rsidP="00C57601">
            <w:pPr>
              <w:jc w:val="center"/>
              <w:rPr>
                <w:rFonts w:cstheme="minorHAnsi"/>
              </w:rPr>
            </w:pPr>
            <w:r>
              <w:rPr>
                <w:rFonts w:cstheme="minorHAnsi"/>
              </w:rPr>
              <w:t>£2.93 billion</w:t>
            </w:r>
          </w:p>
        </w:tc>
      </w:tr>
    </w:tbl>
    <w:p w:rsidR="00A02A3B" w:rsidRDefault="00A02A3B" w:rsidP="00A02A3B">
      <w:pPr>
        <w:spacing w:after="0"/>
        <w:rPr>
          <w:rFonts w:cstheme="minorHAnsi"/>
        </w:rPr>
      </w:pPr>
      <w:r>
        <w:rPr>
          <w:rFonts w:cstheme="minorHAnsi"/>
        </w:rPr>
        <w:t xml:space="preserve"> </w:t>
      </w:r>
    </w:p>
    <w:p w:rsidR="00014F72" w:rsidRPr="008E3E5C" w:rsidRDefault="00A02A3B">
      <w:pPr>
        <w:rPr>
          <w:rFonts w:cstheme="minorHAnsi"/>
        </w:rPr>
      </w:pPr>
      <w:r>
        <w:rPr>
          <w:rFonts w:cstheme="minorHAnsi"/>
        </w:rPr>
        <w:t>Although savings are made with this method, the cost of resupply is still higher than in the Sabatier Reaction.</w:t>
      </w:r>
    </w:p>
    <w:sectPr w:rsidR="00014F72" w:rsidRPr="008E3E5C" w:rsidSect="00941C7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2B7649"/>
    <w:multiLevelType w:val="hybridMultilevel"/>
    <w:tmpl w:val="85184862"/>
    <w:lvl w:ilvl="0" w:tplc="24985C84">
      <w:start w:val="1"/>
      <w:numFmt w:val="bullet"/>
      <w:lvlText w:val="•"/>
      <w:lvlJc w:val="left"/>
      <w:pPr>
        <w:tabs>
          <w:tab w:val="num" w:pos="720"/>
        </w:tabs>
        <w:ind w:left="720" w:hanging="360"/>
      </w:pPr>
      <w:rPr>
        <w:rFonts w:ascii="Arial" w:hAnsi="Arial" w:hint="default"/>
      </w:rPr>
    </w:lvl>
    <w:lvl w:ilvl="1" w:tplc="9A6216AA">
      <w:start w:val="1014"/>
      <w:numFmt w:val="bullet"/>
      <w:lvlText w:val="–"/>
      <w:lvlJc w:val="left"/>
      <w:pPr>
        <w:tabs>
          <w:tab w:val="num" w:pos="1440"/>
        </w:tabs>
        <w:ind w:left="1440" w:hanging="360"/>
      </w:pPr>
      <w:rPr>
        <w:rFonts w:ascii="Arial" w:hAnsi="Arial" w:hint="default"/>
      </w:rPr>
    </w:lvl>
    <w:lvl w:ilvl="2" w:tplc="EC562E6C" w:tentative="1">
      <w:start w:val="1"/>
      <w:numFmt w:val="bullet"/>
      <w:lvlText w:val="•"/>
      <w:lvlJc w:val="left"/>
      <w:pPr>
        <w:tabs>
          <w:tab w:val="num" w:pos="2160"/>
        </w:tabs>
        <w:ind w:left="2160" w:hanging="360"/>
      </w:pPr>
      <w:rPr>
        <w:rFonts w:ascii="Arial" w:hAnsi="Arial" w:hint="default"/>
      </w:rPr>
    </w:lvl>
    <w:lvl w:ilvl="3" w:tplc="2AA20966" w:tentative="1">
      <w:start w:val="1"/>
      <w:numFmt w:val="bullet"/>
      <w:lvlText w:val="•"/>
      <w:lvlJc w:val="left"/>
      <w:pPr>
        <w:tabs>
          <w:tab w:val="num" w:pos="2880"/>
        </w:tabs>
        <w:ind w:left="2880" w:hanging="360"/>
      </w:pPr>
      <w:rPr>
        <w:rFonts w:ascii="Arial" w:hAnsi="Arial" w:hint="default"/>
      </w:rPr>
    </w:lvl>
    <w:lvl w:ilvl="4" w:tplc="E5DA831A" w:tentative="1">
      <w:start w:val="1"/>
      <w:numFmt w:val="bullet"/>
      <w:lvlText w:val="•"/>
      <w:lvlJc w:val="left"/>
      <w:pPr>
        <w:tabs>
          <w:tab w:val="num" w:pos="3600"/>
        </w:tabs>
        <w:ind w:left="3600" w:hanging="360"/>
      </w:pPr>
      <w:rPr>
        <w:rFonts w:ascii="Arial" w:hAnsi="Arial" w:hint="default"/>
      </w:rPr>
    </w:lvl>
    <w:lvl w:ilvl="5" w:tplc="E124BB64" w:tentative="1">
      <w:start w:val="1"/>
      <w:numFmt w:val="bullet"/>
      <w:lvlText w:val="•"/>
      <w:lvlJc w:val="left"/>
      <w:pPr>
        <w:tabs>
          <w:tab w:val="num" w:pos="4320"/>
        </w:tabs>
        <w:ind w:left="4320" w:hanging="360"/>
      </w:pPr>
      <w:rPr>
        <w:rFonts w:ascii="Arial" w:hAnsi="Arial" w:hint="default"/>
      </w:rPr>
    </w:lvl>
    <w:lvl w:ilvl="6" w:tplc="71983242" w:tentative="1">
      <w:start w:val="1"/>
      <w:numFmt w:val="bullet"/>
      <w:lvlText w:val="•"/>
      <w:lvlJc w:val="left"/>
      <w:pPr>
        <w:tabs>
          <w:tab w:val="num" w:pos="5040"/>
        </w:tabs>
        <w:ind w:left="5040" w:hanging="360"/>
      </w:pPr>
      <w:rPr>
        <w:rFonts w:ascii="Arial" w:hAnsi="Arial" w:hint="default"/>
      </w:rPr>
    </w:lvl>
    <w:lvl w:ilvl="7" w:tplc="594AC63C" w:tentative="1">
      <w:start w:val="1"/>
      <w:numFmt w:val="bullet"/>
      <w:lvlText w:val="•"/>
      <w:lvlJc w:val="left"/>
      <w:pPr>
        <w:tabs>
          <w:tab w:val="num" w:pos="5760"/>
        </w:tabs>
        <w:ind w:left="5760" w:hanging="360"/>
      </w:pPr>
      <w:rPr>
        <w:rFonts w:ascii="Arial" w:hAnsi="Arial" w:hint="default"/>
      </w:rPr>
    </w:lvl>
    <w:lvl w:ilvl="8" w:tplc="92AC4676"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A00C4"/>
    <w:rsid w:val="00014F72"/>
    <w:rsid w:val="000B79CB"/>
    <w:rsid w:val="000D2898"/>
    <w:rsid w:val="002F06DE"/>
    <w:rsid w:val="004A00C4"/>
    <w:rsid w:val="00505897"/>
    <w:rsid w:val="006853E1"/>
    <w:rsid w:val="006C176F"/>
    <w:rsid w:val="006F57FE"/>
    <w:rsid w:val="00777613"/>
    <w:rsid w:val="007F0243"/>
    <w:rsid w:val="00851969"/>
    <w:rsid w:val="008E3E5C"/>
    <w:rsid w:val="00941C78"/>
    <w:rsid w:val="00957310"/>
    <w:rsid w:val="009634D8"/>
    <w:rsid w:val="00A02A3B"/>
    <w:rsid w:val="00B45254"/>
    <w:rsid w:val="00C57601"/>
    <w:rsid w:val="00CF0A7D"/>
    <w:rsid w:val="00E71BB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5254"/>
  </w:style>
  <w:style w:type="paragraph" w:styleId="Heading1">
    <w:name w:val="heading 1"/>
    <w:basedOn w:val="Normal"/>
    <w:next w:val="Normal"/>
    <w:link w:val="Heading1Char"/>
    <w:uiPriority w:val="9"/>
    <w:qFormat/>
    <w:rsid w:val="00B4525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4525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4525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B45254"/>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B45254"/>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4525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4525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45254"/>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B4525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525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4525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4525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B4525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B4525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B4525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B4525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B4525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B45254"/>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45254"/>
    <w:pPr>
      <w:spacing w:line="240" w:lineRule="auto"/>
    </w:pPr>
    <w:rPr>
      <w:b/>
      <w:bCs/>
      <w:color w:val="4F81BD" w:themeColor="accent1"/>
      <w:sz w:val="18"/>
      <w:szCs w:val="18"/>
    </w:rPr>
  </w:style>
  <w:style w:type="paragraph" w:styleId="Title">
    <w:name w:val="Title"/>
    <w:basedOn w:val="Normal"/>
    <w:next w:val="Normal"/>
    <w:link w:val="TitleChar"/>
    <w:uiPriority w:val="10"/>
    <w:qFormat/>
    <w:rsid w:val="00B4525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45254"/>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4525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45254"/>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45254"/>
    <w:rPr>
      <w:b/>
      <w:bCs/>
    </w:rPr>
  </w:style>
  <w:style w:type="character" w:styleId="Emphasis">
    <w:name w:val="Emphasis"/>
    <w:basedOn w:val="DefaultParagraphFont"/>
    <w:uiPriority w:val="20"/>
    <w:qFormat/>
    <w:rsid w:val="00B45254"/>
    <w:rPr>
      <w:i/>
      <w:iCs/>
    </w:rPr>
  </w:style>
  <w:style w:type="paragraph" w:styleId="NoSpacing">
    <w:name w:val="No Spacing"/>
    <w:uiPriority w:val="1"/>
    <w:qFormat/>
    <w:rsid w:val="00B45254"/>
    <w:pPr>
      <w:spacing w:after="0" w:line="240" w:lineRule="auto"/>
    </w:pPr>
  </w:style>
  <w:style w:type="paragraph" w:styleId="ListParagraph">
    <w:name w:val="List Paragraph"/>
    <w:basedOn w:val="Normal"/>
    <w:uiPriority w:val="34"/>
    <w:qFormat/>
    <w:rsid w:val="00B45254"/>
    <w:pPr>
      <w:ind w:left="720"/>
      <w:contextualSpacing/>
    </w:pPr>
  </w:style>
  <w:style w:type="paragraph" w:styleId="Quote">
    <w:name w:val="Quote"/>
    <w:basedOn w:val="Normal"/>
    <w:next w:val="Normal"/>
    <w:link w:val="QuoteChar"/>
    <w:uiPriority w:val="29"/>
    <w:qFormat/>
    <w:rsid w:val="00B45254"/>
    <w:rPr>
      <w:i/>
      <w:iCs/>
      <w:color w:val="000000" w:themeColor="text1"/>
    </w:rPr>
  </w:style>
  <w:style w:type="character" w:customStyle="1" w:styleId="QuoteChar">
    <w:name w:val="Quote Char"/>
    <w:basedOn w:val="DefaultParagraphFont"/>
    <w:link w:val="Quote"/>
    <w:uiPriority w:val="29"/>
    <w:rsid w:val="00B45254"/>
    <w:rPr>
      <w:i/>
      <w:iCs/>
      <w:color w:val="000000" w:themeColor="text1"/>
    </w:rPr>
  </w:style>
  <w:style w:type="paragraph" w:styleId="IntenseQuote">
    <w:name w:val="Intense Quote"/>
    <w:basedOn w:val="Normal"/>
    <w:next w:val="Normal"/>
    <w:link w:val="IntenseQuoteChar"/>
    <w:uiPriority w:val="30"/>
    <w:qFormat/>
    <w:rsid w:val="00B4525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B45254"/>
    <w:rPr>
      <w:b/>
      <w:bCs/>
      <w:i/>
      <w:iCs/>
      <w:color w:val="4F81BD" w:themeColor="accent1"/>
    </w:rPr>
  </w:style>
  <w:style w:type="character" w:styleId="SubtleEmphasis">
    <w:name w:val="Subtle Emphasis"/>
    <w:basedOn w:val="DefaultParagraphFont"/>
    <w:uiPriority w:val="19"/>
    <w:qFormat/>
    <w:rsid w:val="00B45254"/>
    <w:rPr>
      <w:i/>
      <w:iCs/>
      <w:color w:val="808080" w:themeColor="text1" w:themeTint="7F"/>
    </w:rPr>
  </w:style>
  <w:style w:type="character" w:styleId="IntenseEmphasis">
    <w:name w:val="Intense Emphasis"/>
    <w:basedOn w:val="DefaultParagraphFont"/>
    <w:uiPriority w:val="21"/>
    <w:qFormat/>
    <w:rsid w:val="00B45254"/>
    <w:rPr>
      <w:b/>
      <w:bCs/>
      <w:i/>
      <w:iCs/>
      <w:color w:val="4F81BD" w:themeColor="accent1"/>
    </w:rPr>
  </w:style>
  <w:style w:type="character" w:styleId="SubtleReference">
    <w:name w:val="Subtle Reference"/>
    <w:basedOn w:val="DefaultParagraphFont"/>
    <w:uiPriority w:val="31"/>
    <w:qFormat/>
    <w:rsid w:val="00B45254"/>
    <w:rPr>
      <w:smallCaps/>
      <w:color w:val="C0504D" w:themeColor="accent2"/>
      <w:u w:val="single"/>
    </w:rPr>
  </w:style>
  <w:style w:type="character" w:styleId="IntenseReference">
    <w:name w:val="Intense Reference"/>
    <w:basedOn w:val="DefaultParagraphFont"/>
    <w:uiPriority w:val="32"/>
    <w:qFormat/>
    <w:rsid w:val="00B45254"/>
    <w:rPr>
      <w:b/>
      <w:bCs/>
      <w:smallCaps/>
      <w:color w:val="C0504D" w:themeColor="accent2"/>
      <w:spacing w:val="5"/>
      <w:u w:val="single"/>
    </w:rPr>
  </w:style>
  <w:style w:type="character" w:styleId="BookTitle">
    <w:name w:val="Book Title"/>
    <w:basedOn w:val="DefaultParagraphFont"/>
    <w:uiPriority w:val="33"/>
    <w:qFormat/>
    <w:rsid w:val="00B45254"/>
    <w:rPr>
      <w:b/>
      <w:bCs/>
      <w:smallCaps/>
      <w:spacing w:val="5"/>
    </w:rPr>
  </w:style>
  <w:style w:type="paragraph" w:styleId="TOCHeading">
    <w:name w:val="TOC Heading"/>
    <w:basedOn w:val="Heading1"/>
    <w:next w:val="Normal"/>
    <w:uiPriority w:val="39"/>
    <w:semiHidden/>
    <w:unhideWhenUsed/>
    <w:qFormat/>
    <w:rsid w:val="00B45254"/>
    <w:pPr>
      <w:outlineLvl w:val="9"/>
    </w:pPr>
    <w:rPr>
      <w:lang w:val="en-US"/>
    </w:rPr>
  </w:style>
  <w:style w:type="character" w:customStyle="1" w:styleId="apple-converted-space">
    <w:name w:val="apple-converted-space"/>
    <w:basedOn w:val="DefaultParagraphFont"/>
    <w:rsid w:val="00851969"/>
  </w:style>
  <w:style w:type="character" w:styleId="Hyperlink">
    <w:name w:val="Hyperlink"/>
    <w:basedOn w:val="DefaultParagraphFont"/>
    <w:uiPriority w:val="99"/>
    <w:semiHidden/>
    <w:unhideWhenUsed/>
    <w:rsid w:val="00851969"/>
    <w:rPr>
      <w:color w:val="0000FF"/>
      <w:u w:val="single"/>
    </w:rPr>
  </w:style>
  <w:style w:type="paragraph" w:styleId="NormalWeb">
    <w:name w:val="Normal (Web)"/>
    <w:basedOn w:val="Normal"/>
    <w:uiPriority w:val="99"/>
    <w:semiHidden/>
    <w:unhideWhenUsed/>
    <w:rsid w:val="0085196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5058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5897"/>
    <w:rPr>
      <w:rFonts w:ascii="Tahoma" w:hAnsi="Tahoma" w:cs="Tahoma"/>
      <w:sz w:val="16"/>
      <w:szCs w:val="16"/>
    </w:rPr>
  </w:style>
  <w:style w:type="table" w:styleId="TableGrid">
    <w:name w:val="Table Grid"/>
    <w:basedOn w:val="TableNormal"/>
    <w:uiPriority w:val="59"/>
    <w:rsid w:val="00C576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2399450">
      <w:bodyDiv w:val="1"/>
      <w:marLeft w:val="0"/>
      <w:marRight w:val="0"/>
      <w:marTop w:val="0"/>
      <w:marBottom w:val="0"/>
      <w:divBdr>
        <w:top w:val="none" w:sz="0" w:space="0" w:color="auto"/>
        <w:left w:val="none" w:sz="0" w:space="0" w:color="auto"/>
        <w:bottom w:val="none" w:sz="0" w:space="0" w:color="auto"/>
        <w:right w:val="none" w:sz="0" w:space="0" w:color="auto"/>
      </w:divBdr>
    </w:div>
    <w:div w:id="306665986">
      <w:bodyDiv w:val="1"/>
      <w:marLeft w:val="0"/>
      <w:marRight w:val="0"/>
      <w:marTop w:val="0"/>
      <w:marBottom w:val="0"/>
      <w:divBdr>
        <w:top w:val="none" w:sz="0" w:space="0" w:color="auto"/>
        <w:left w:val="none" w:sz="0" w:space="0" w:color="auto"/>
        <w:bottom w:val="none" w:sz="0" w:space="0" w:color="auto"/>
        <w:right w:val="none" w:sz="0" w:space="0" w:color="auto"/>
      </w:divBdr>
      <w:divsChild>
        <w:div w:id="1296719929">
          <w:marLeft w:val="547"/>
          <w:marRight w:val="0"/>
          <w:marTop w:val="154"/>
          <w:marBottom w:val="0"/>
          <w:divBdr>
            <w:top w:val="none" w:sz="0" w:space="0" w:color="auto"/>
            <w:left w:val="none" w:sz="0" w:space="0" w:color="auto"/>
            <w:bottom w:val="none" w:sz="0" w:space="0" w:color="auto"/>
            <w:right w:val="none" w:sz="0" w:space="0" w:color="auto"/>
          </w:divBdr>
        </w:div>
        <w:div w:id="91630865">
          <w:marLeft w:val="1166"/>
          <w:marRight w:val="0"/>
          <w:marTop w:val="134"/>
          <w:marBottom w:val="0"/>
          <w:divBdr>
            <w:top w:val="none" w:sz="0" w:space="0" w:color="auto"/>
            <w:left w:val="none" w:sz="0" w:space="0" w:color="auto"/>
            <w:bottom w:val="none" w:sz="0" w:space="0" w:color="auto"/>
            <w:right w:val="none" w:sz="0" w:space="0" w:color="auto"/>
          </w:divBdr>
        </w:div>
        <w:div w:id="2133205552">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958</TotalTime>
  <Pages>1</Pages>
  <Words>319</Words>
  <Characters>1824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Charly</dc:creator>
  <cp:lastModifiedBy>Charly</cp:lastModifiedBy>
  <cp:revision>1</cp:revision>
  <dcterms:created xsi:type="dcterms:W3CDTF">2012-01-18T00:43:00Z</dcterms:created>
  <dcterms:modified xsi:type="dcterms:W3CDTF">2012-01-18T16:41:00Z</dcterms:modified>
</cp:coreProperties>
</file>